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FB126F" w14:paraId="7562A2B6" w14:textId="77777777" w:rsidTr="00FB126F">
        <w:tc>
          <w:tcPr>
            <w:tcW w:w="5000" w:type="pct"/>
            <w:shd w:val="clear" w:color="auto" w:fill="auto"/>
            <w:vAlign w:val="center"/>
          </w:tcPr>
          <w:p w14:paraId="715F7043" w14:textId="7A006C49" w:rsidR="00FB126F" w:rsidRDefault="00FB126F">
            <w:pPr>
              <w:pStyle w:val="Header"/>
              <w:snapToGri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13A8671" wp14:editId="02CD508B">
                  <wp:extent cx="661670" cy="734695"/>
                  <wp:effectExtent l="0" t="0" r="0" b="1905"/>
                  <wp:docPr id="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3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9215E" w14:textId="77777777" w:rsidR="00F549C3" w:rsidRDefault="00F549C3">
      <w:pPr>
        <w:spacing w:before="0"/>
        <w:jc w:val="center"/>
      </w:pPr>
    </w:p>
    <w:p w14:paraId="4D51F9BA" w14:textId="77777777" w:rsidR="00F549C3" w:rsidRDefault="005B0362">
      <w:pPr>
        <w:spacing w:befor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MODULIO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APRAŠAS</w:t>
      </w:r>
    </w:p>
    <w:p w14:paraId="5CE62198" w14:textId="77777777" w:rsidR="00F549C3" w:rsidRDefault="00F549C3">
      <w:pPr>
        <w:spacing w:before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40"/>
        <w:gridCol w:w="2488"/>
      </w:tblGrid>
      <w:tr w:rsidR="00F549C3" w14:paraId="737F98FA" w14:textId="77777777" w:rsidTr="00E329BC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A3B9EF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20C70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Kodas</w:t>
            </w:r>
          </w:p>
        </w:tc>
      </w:tr>
      <w:tr w:rsidR="00F549C3" w14:paraId="55B38616" w14:textId="77777777" w:rsidTr="00E329BC">
        <w:tc>
          <w:tcPr>
            <w:tcW w:w="3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9554" w14:textId="356A7681" w:rsidR="00F549C3" w:rsidRDefault="00E47230" w:rsidP="00F518FD">
            <w:pPr>
              <w:snapToGrid w:val="0"/>
              <w:spacing w:before="0"/>
              <w:jc w:val="center"/>
            </w:pPr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Programavimo metodikos pagrindai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5736" w14:textId="77777777" w:rsidR="00F549C3" w:rsidRDefault="00F549C3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2BECA1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0"/>
        <w:gridCol w:w="4868"/>
      </w:tblGrid>
      <w:tr w:rsidR="00F549C3" w14:paraId="5BC179E0" w14:textId="77777777" w:rsidTr="00E329BC"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721D93F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Dėstytojas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9809EC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Padalinys</w:t>
            </w:r>
          </w:p>
        </w:tc>
      </w:tr>
      <w:tr w:rsidR="00F549C3" w14:paraId="5C8C713B" w14:textId="77777777" w:rsidTr="00E329BC"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69BB" w14:textId="4E969179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Koordinuojantis</w:t>
            </w:r>
            <w:r w:rsidRPr="0056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F518FD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Saulius Gražulis</w:t>
            </w:r>
          </w:p>
          <w:p w14:paraId="087DFF3B" w14:textId="77777777" w:rsidR="00F549C3" w:rsidRDefault="00F549C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53B2B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Kitas (-i):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C5BE" w14:textId="1B08B3E4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Matematinės informatikos katedra</w:t>
            </w:r>
          </w:p>
          <w:p w14:paraId="00D5D358" w14:textId="77777777" w:rsidR="00F518FD" w:rsidRDefault="00F518FD" w:rsidP="00F518FD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Matematikos ir informatikos fakultetas</w:t>
            </w:r>
          </w:p>
          <w:p w14:paraId="64639D0A" w14:textId="26199383" w:rsidR="00F549C3" w:rsidRDefault="00F518FD" w:rsidP="00F518FD">
            <w:pPr>
              <w:snapToGrid w:val="0"/>
              <w:spacing w:before="0"/>
              <w:jc w:val="both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Vilniaus universitetas</w:t>
            </w:r>
          </w:p>
        </w:tc>
      </w:tr>
    </w:tbl>
    <w:p w14:paraId="12E0D428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62"/>
        <w:gridCol w:w="4866"/>
      </w:tblGrid>
      <w:tr w:rsidR="00F549C3" w14:paraId="27F51E2D" w14:textId="77777777" w:rsidTr="00E329BC"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637AF5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pakopa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4E67E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Dalyko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tipas</w:t>
            </w:r>
          </w:p>
        </w:tc>
      </w:tr>
      <w:tr w:rsidR="00F549C3" w14:paraId="2467AA30" w14:textId="77777777" w:rsidTr="00E329BC"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779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Pirmoji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D47E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Privalomasis</w:t>
            </w:r>
          </w:p>
        </w:tc>
      </w:tr>
    </w:tbl>
    <w:p w14:paraId="37F8AC32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8"/>
        <w:gridCol w:w="3171"/>
        <w:gridCol w:w="3279"/>
      </w:tblGrid>
      <w:tr w:rsidR="00F549C3" w14:paraId="2A2B3E33" w14:textId="77777777" w:rsidTr="00E329BC"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9F2D790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Įgyvendinimo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4485EE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Vykdymo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laikotarpis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D2D46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Vykdymo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kalbos</w:t>
            </w:r>
          </w:p>
        </w:tc>
      </w:tr>
      <w:tr w:rsidR="00F549C3" w14:paraId="3EBAD66A" w14:textId="77777777" w:rsidTr="00E329BC"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E8A4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Auditorinė</w:t>
            </w:r>
          </w:p>
        </w:tc>
        <w:tc>
          <w:tcPr>
            <w:tcW w:w="1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BAC" w14:textId="5DF4EDBD" w:rsidR="00F549C3" w:rsidRDefault="00E47230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0362">
              <w:rPr>
                <w:rFonts w:ascii="Times New Roman" w:hAnsi="Times New Roman" w:cs="Times New Roman"/>
                <w:sz w:val="20"/>
                <w:szCs w:val="20"/>
              </w:rPr>
              <w:t xml:space="preserve"> semestras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5522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</w:p>
        </w:tc>
      </w:tr>
    </w:tbl>
    <w:p w14:paraId="20C06AEA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F549C3" w14:paraId="70061C46" w14:textId="77777777" w:rsidTr="00E329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D254A6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Reikalavimai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studijuojančiajam</w:t>
            </w:r>
          </w:p>
        </w:tc>
      </w:tr>
      <w:tr w:rsidR="00F549C3" w14:paraId="48E4B27F" w14:textId="77777777" w:rsidTr="00E329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23D8" w14:textId="77777777" w:rsidR="00E47230" w:rsidRDefault="005B0362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Išankstiniai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reikalavimai: </w:t>
            </w:r>
            <w:r w:rsidR="00E47230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Perlo programavimo kalba, Informatikos pagrindai, duomen</w:t>
            </w:r>
            <w:r w:rsidR="00E47230"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 xml:space="preserve">ų </w:t>
            </w:r>
            <w:r w:rsidR="00E47230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strukt</w:t>
            </w:r>
            <w:r w:rsidR="00E47230"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>ū</w:t>
            </w:r>
            <w:r w:rsidR="00E47230"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ros</w:t>
            </w:r>
          </w:p>
          <w:p w14:paraId="35779D92" w14:textId="5A0E850B" w:rsidR="00F549C3" w:rsidRDefault="00E47230" w:rsidP="00E47230">
            <w:pPr>
              <w:snapToGrid w:val="0"/>
              <w:spacing w:before="0"/>
              <w:jc w:val="both"/>
            </w:pPr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Pageidautina žinoti: tiesin</w:t>
            </w:r>
            <w:r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>ė</w:t>
            </w:r>
            <w:r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algebra, operacin</w:t>
            </w:r>
            <w:r>
              <w:rPr>
                <w:rFonts w:ascii="TimesNewRoman,Bold" w:eastAsia="Times New Roman" w:hAnsi="TimesNewRoman,Bold" w:cs="TimesNewRoman,Bold"/>
                <w:b/>
                <w:bCs/>
                <w:sz w:val="20"/>
                <w:szCs w:val="20"/>
                <w:lang w:eastAsia="en-GB"/>
              </w:rPr>
              <w:t>ė</w:t>
            </w:r>
            <w:r>
              <w:rPr>
                <w:rFonts w:ascii="Times-Bold" w:eastAsia="Times New Roman" w:hAnsi="Times-Bold" w:cs="Times-Bold"/>
                <w:b/>
                <w:bCs/>
                <w:sz w:val="20"/>
                <w:szCs w:val="20"/>
                <w:lang w:eastAsia="en-GB"/>
              </w:rPr>
              <w:t>s sistemos</w:t>
            </w:r>
          </w:p>
        </w:tc>
      </w:tr>
    </w:tbl>
    <w:p w14:paraId="08A07E6B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488"/>
      </w:tblGrid>
      <w:tr w:rsidR="00F549C3" w14:paraId="2E6AB542" w14:textId="77777777" w:rsidTr="00E329B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01E7EE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apimtis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kreditais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CF727F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krūvis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0C492C9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valandos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3FE61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Savarankiško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valandos</w:t>
            </w:r>
          </w:p>
        </w:tc>
      </w:tr>
      <w:tr w:rsidR="00F549C3" w14:paraId="5ACDFB59" w14:textId="77777777" w:rsidTr="00E329BC"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86198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4EA6D" w14:textId="5D5F6B13" w:rsidR="00F549C3" w:rsidRDefault="00E47230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01C9" w14:textId="4AD2CB74" w:rsidR="00F549C3" w:rsidRDefault="00E47230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399D" w14:textId="24FEF1DE" w:rsidR="00F549C3" w:rsidRDefault="00E47230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14:paraId="2B3071D4" w14:textId="77777777" w:rsidR="00F549C3" w:rsidRDefault="00F549C3">
      <w:pPr>
        <w:spacing w:befor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03"/>
        <w:gridCol w:w="3905"/>
        <w:gridCol w:w="2000"/>
      </w:tblGrid>
      <w:tr w:rsidR="00F549C3" w14:paraId="1563C133" w14:textId="77777777" w:rsidTr="00E329BC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C8BAC73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tikslas: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ugdomos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kompetencijos</w:t>
            </w:r>
          </w:p>
        </w:tc>
      </w:tr>
      <w:tr w:rsidR="00F549C3" w14:paraId="70101C04" w14:textId="77777777" w:rsidTr="00E329BC"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714ACD" w14:textId="77777777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Modulio tikslas – suteikti studentams bazinius organizuoto programavimo 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į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džius: išmokyti juos naudotis versij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704F55BD" w14:textId="77777777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valdymo sistemomis, naudoti automatines program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testavimo priemones, duoti pradines žinias apie program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2E992780" w14:textId="77777777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verifikavim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suteikti žini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apie programavimo stilius ir pamokyti dirbti 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į </w:t>
            </w:r>
            <w:proofErr w:type="spellStart"/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Unix</w:t>
            </w:r>
            <w:proofErr w:type="spellEnd"/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sistem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ą 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panašiose aplinkose (pvz.</w:t>
            </w:r>
          </w:p>
          <w:p w14:paraId="448D2C72" w14:textId="77777777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GNU/Linux sistemoje).</w:t>
            </w:r>
          </w:p>
          <w:p w14:paraId="4734093E" w14:textId="6F1AE40F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Šis kursas numatytas kaip 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į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vadinis kursas tolimesniam strukt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rin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s </w:t>
            </w:r>
            <w:proofErr w:type="spellStart"/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bioinformatikos</w:t>
            </w:r>
            <w:proofErr w:type="spellEnd"/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ku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rsui, kur toliau bus naudojamos 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iš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moktos programavimo priemonė</w:t>
            </w:r>
            <w:r w:rsidRPr="00E47230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s.</w:t>
            </w:r>
          </w:p>
          <w:p w14:paraId="325361B9" w14:textId="77777777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472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Bendrosios kompetencijos:</w:t>
            </w:r>
          </w:p>
          <w:p w14:paraId="5B1EF1B9" w14:textId="77777777" w:rsidR="00E47230" w:rsidRPr="00E47230" w:rsidRDefault="00E47230" w:rsidP="00E47230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Geb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jimas ieškoti duomen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informacijos šaltiniuose, analizuoti, vaizduoti ir sisteminti gautus duomenis. 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BK1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6B70BF0B" w14:textId="4AB9F89B" w:rsidR="00E47230" w:rsidRPr="00E47230" w:rsidRDefault="00E47230" w:rsidP="00E47230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Žinias pritaikyti praktikoje 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BK2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5F5DFDBC" w14:textId="3F7A0CEE" w:rsidR="00E47230" w:rsidRPr="00E47230" w:rsidRDefault="00E47230" w:rsidP="00E47230">
            <w:pPr>
              <w:pStyle w:val="ListParagraph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Geb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jimas organizuoti ir planuoti darbus, dirbti individualiai ir grup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je, geb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jimas bendradarbiauti su kit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33DBEF23" w14:textId="2494E5BE" w:rsidR="00E47230" w:rsidRPr="00E47230" w:rsidRDefault="00E47230" w:rsidP="00E47230">
            <w:pPr>
              <w:pStyle w:val="ListParagraph"/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profesini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sri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č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žmon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mis. 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BK3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1771E364" w14:textId="616D580C" w:rsidR="00E47230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Dalykin</w:t>
            </w:r>
            <w:r w:rsidRPr="00E472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  <w:t>s kompetencijos:</w:t>
            </w:r>
          </w:p>
          <w:p w14:paraId="072D265C" w14:textId="210438CC" w:rsidR="00E47230" w:rsidRPr="00E47230" w:rsidRDefault="00E47230" w:rsidP="00E47230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Algoritm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ir duomen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strukt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ū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r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DK5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6A253F48" w14:textId="46BFB6FC" w:rsidR="00E47230" w:rsidRPr="00E47230" w:rsidRDefault="00E47230" w:rsidP="00E47230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Programavimo modeli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ir interneto technologij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DK6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4B85FCB7" w14:textId="77777777" w:rsidR="00E47230" w:rsidRPr="00E47230" w:rsidRDefault="00E47230" w:rsidP="00E47230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Program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sistem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inžinerijos 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DK8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  <w:p w14:paraId="047AA4C7" w14:textId="14DF09C1" w:rsidR="00F549C3" w:rsidRPr="00E47230" w:rsidRDefault="00E47230" w:rsidP="00E47230">
            <w:pPr>
              <w:pStyle w:val="ListParagraph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-Roman" w:hAnsi="Times-Roman" w:cs="Times-Roman"/>
                <w:sz w:val="20"/>
                <w:szCs w:val="20"/>
                <w:lang w:eastAsia="en-GB"/>
              </w:rPr>
            </w:pPr>
            <w:proofErr w:type="spellStart"/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Bioinformatikos</w:t>
            </w:r>
            <w:proofErr w:type="spellEnd"/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duomen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ų 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gavybos, vaizdavimo ir analiz</w:t>
            </w:r>
            <w:r w:rsidRPr="00E47230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ė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s (</w:t>
            </w:r>
            <w:r w:rsidRPr="00E4723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DK11</w:t>
            </w:r>
            <w:r w:rsidRPr="00E4723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).</w:t>
            </w:r>
          </w:p>
        </w:tc>
      </w:tr>
      <w:tr w:rsidR="00F549C3" w14:paraId="71D0D899" w14:textId="77777777" w:rsidTr="00E329BC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50FA85C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Modulio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siekiniai</w:t>
            </w:r>
          </w:p>
        </w:tc>
        <w:tc>
          <w:tcPr>
            <w:tcW w:w="2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4BAA245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metodai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6F00A87" w14:textId="77777777" w:rsidR="00F549C3" w:rsidRDefault="005B0362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metodai</w:t>
            </w:r>
          </w:p>
        </w:tc>
      </w:tr>
      <w:tr w:rsidR="00F518FD" w14:paraId="1ADEB94C" w14:textId="77777777" w:rsidTr="00E47230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53A6" w14:textId="4C7036FC" w:rsidR="00F518FD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Išmokti savarankiškai efektyviai dirbti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Unix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sistem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panašiose aplinkose.</w:t>
            </w:r>
          </w:p>
        </w:tc>
        <w:tc>
          <w:tcPr>
            <w:tcW w:w="203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A5FCAA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Paskaitos, praktikos darbai, individuali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7E20010F" w14:textId="3ADAD39C" w:rsidR="00F518FD" w:rsidRDefault="00E47230" w:rsidP="00E47230">
            <w:pPr>
              <w:tabs>
                <w:tab w:val="left" w:pos="851"/>
                <w:tab w:val="left" w:pos="907"/>
              </w:tabs>
              <w:snapToGrid w:val="0"/>
              <w:spacing w:before="0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programavimo užduo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gyvendinimas</w:t>
            </w:r>
          </w:p>
        </w:tc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3397FA2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Apklausos virtualioje</w:t>
            </w:r>
          </w:p>
          <w:p w14:paraId="6FE21EF9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mokymo sistemoje;</w:t>
            </w:r>
          </w:p>
          <w:p w14:paraId="50CB2E57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egzaminas (uždavini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1DBDB16D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sprendimas,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ese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); student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114C52B4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pristatymas raštu ir</w:t>
            </w:r>
          </w:p>
          <w:p w14:paraId="1997E462" w14:textId="5E8C91F1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žodžiu;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student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programavimo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2CD5A319" w14:textId="6AAAD515" w:rsidR="00F518FD" w:rsidRDefault="00E47230" w:rsidP="00E47230">
            <w:pPr>
              <w:tabs>
                <w:tab w:val="left" w:pos="851"/>
                <w:tab w:val="left" w:pos="907"/>
              </w:tabs>
              <w:snapToGrid w:val="0"/>
              <w:spacing w:before="0"/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perži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ra ir pri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mimo testai.</w:t>
            </w:r>
          </w:p>
        </w:tc>
      </w:tr>
      <w:tr w:rsidR="00F518FD" w14:paraId="77A8D0CD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9C85" w14:textId="088BE925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Suvokti pagrindinius versij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kontrol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</w:t>
            </w:r>
          </w:p>
          <w:p w14:paraId="282C774E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(valdymo) sistem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principus ir uždavinius;</w:t>
            </w:r>
          </w:p>
          <w:p w14:paraId="6D774976" w14:textId="553C8E5C" w:rsidR="00F518FD" w:rsidRP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išmokti efektyviai dirbti su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Subversion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versij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kontrol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sistema.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4A1E32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50E0C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3054DE1B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2D38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Suvokti 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testavimo 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tinum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</w:t>
            </w:r>
          </w:p>
          <w:p w14:paraId="3C0D959C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suprasti testavimo teikiamas galimybes bei</w:t>
            </w:r>
          </w:p>
          <w:p w14:paraId="70315A76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testavimo galimybi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ribas. Išmokti</w:t>
            </w:r>
          </w:p>
          <w:p w14:paraId="30684413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savarankiškai konstruoti ir pritaikyti</w:t>
            </w:r>
          </w:p>
          <w:p w14:paraId="2B085343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automatinius testus savo parašytoms</w:t>
            </w:r>
          </w:p>
          <w:p w14:paraId="796EFA51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programoms panaudojant GNU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Make</w:t>
            </w:r>
            <w:proofErr w:type="spellEnd"/>
          </w:p>
          <w:p w14:paraId="225F3EC9" w14:textId="3185F27B" w:rsidR="00F518FD" w:rsidRPr="00601842" w:rsidRDefault="00E47230" w:rsidP="00E47230">
            <w:pPr>
              <w:suppressAutoHyphens w:val="0"/>
              <w:autoSpaceDE w:val="0"/>
              <w:snapToGrid w:val="0"/>
              <w:spacing w:before="0"/>
              <w:rPr>
                <w:color w:val="000000" w:themeColor="text1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lastRenderedPageBreak/>
              <w:t>sistem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877AB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39C02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65AE1CE6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111E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 New Roman" w:cs="TimesNewRoman"/>
                <w:sz w:val="20"/>
                <w:szCs w:val="20"/>
                <w:lang w:eastAsia="en-GB"/>
              </w:rPr>
            </w:pPr>
            <w:r>
              <w:rPr>
                <w:rFonts w:ascii="TimesNewRoman" w:eastAsia="TimesNewRoman" w:hAnsi="Times New Roman" w:cs="TimesNewRoman" w:hint="eastAsia"/>
                <w:sz w:val="20"/>
                <w:szCs w:val="20"/>
                <w:lang w:eastAsia="en-GB"/>
              </w:rPr>
              <w:lastRenderedPageBreak/>
              <w:t>Į</w:t>
            </w:r>
            <w:r>
              <w:rPr>
                <w:rFonts w:ascii="Times-Roman" w:eastAsia="TimesNewRoman" w:hAnsi="Times-Roman" w:cs="Times-Roman"/>
                <w:sz w:val="20"/>
                <w:szCs w:val="20"/>
                <w:lang w:eastAsia="en-GB"/>
              </w:rPr>
              <w:t>gyti pradines žinias apie program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  <w:lang w:eastAsia="en-GB"/>
              </w:rPr>
              <w:t>ų</w:t>
            </w:r>
          </w:p>
          <w:p w14:paraId="42D9826E" w14:textId="7E0E98EA" w:rsidR="00F518FD" w:rsidRDefault="00E47230" w:rsidP="00E47230">
            <w:pPr>
              <w:suppressAutoHyphens w:val="0"/>
              <w:autoSpaceDE w:val="0"/>
              <w:snapToGrid w:val="0"/>
              <w:spacing w:before="0"/>
            </w:pPr>
            <w:r>
              <w:rPr>
                <w:rFonts w:ascii="Times-Roman" w:eastAsia="TimesNewRoman" w:hAnsi="Times-Roman" w:cs="Times-Roman"/>
                <w:sz w:val="20"/>
                <w:szCs w:val="20"/>
                <w:lang w:eastAsia="en-GB"/>
              </w:rPr>
              <w:t>verifikavim</w:t>
            </w:r>
            <w:r>
              <w:rPr>
                <w:rFonts w:ascii="TimesNewRoman" w:eastAsia="TimesNewRoman" w:hAnsi="Times New 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New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DA0E3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1DFA8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518FD" w14:paraId="60EFAFDA" w14:textId="77777777" w:rsidTr="00E47230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2BB3F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Išmokti tvarkingai rašyti lengvai skaitom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</w:t>
            </w:r>
          </w:p>
          <w:p w14:paraId="31970767" w14:textId="6E68B920" w:rsidR="00F518FD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nesunkiai lydym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programos kod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, nuosekliai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naudojant pasirinkt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kodavimo stili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032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3D635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D7649" w14:textId="77777777" w:rsidR="00F518FD" w:rsidRDefault="00F518FD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47230" w14:paraId="0F34EA63" w14:textId="77777777" w:rsidTr="008C5CB2">
        <w:tc>
          <w:tcPr>
            <w:tcW w:w="192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1225B74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Sužinoti apie šiuolaikines programavimo</w:t>
            </w:r>
          </w:p>
          <w:p w14:paraId="432C5983" w14:textId="7F6E4EEF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metodikas – lankst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agile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development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), testais paremt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programos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vystym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test-driven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development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),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ekstremal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programavim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(XP,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extreme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programming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 ir išmokti taikyti 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elementus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praktikoje.</w:t>
            </w:r>
          </w:p>
        </w:tc>
        <w:tc>
          <w:tcPr>
            <w:tcW w:w="20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D680" w14:textId="77777777" w:rsidR="00E47230" w:rsidRDefault="00E47230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9BB329" w14:textId="77777777" w:rsidR="00E47230" w:rsidRDefault="00E47230">
            <w:pPr>
              <w:tabs>
                <w:tab w:val="left" w:pos="851"/>
                <w:tab w:val="left" w:pos="907"/>
              </w:tabs>
              <w:snapToGri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B020031" w14:textId="1060B57E" w:rsidR="00F549C3" w:rsidRDefault="00F549C3">
      <w:pPr>
        <w:spacing w:befor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4982" w:type="pct"/>
        <w:tblLook w:val="0000" w:firstRow="0" w:lastRow="0" w:firstColumn="0" w:lastColumn="0" w:noHBand="0" w:noVBand="0"/>
      </w:tblPr>
      <w:tblGrid>
        <w:gridCol w:w="4171"/>
        <w:gridCol w:w="459"/>
        <w:gridCol w:w="459"/>
        <w:gridCol w:w="460"/>
        <w:gridCol w:w="460"/>
        <w:gridCol w:w="460"/>
        <w:gridCol w:w="498"/>
        <w:gridCol w:w="460"/>
        <w:gridCol w:w="2146"/>
      </w:tblGrid>
      <w:tr w:rsidR="000C0C89" w14:paraId="7548D641" w14:textId="0D1AA295" w:rsidTr="000C0C89">
        <w:trPr>
          <w:trHeight w:val="464"/>
        </w:trPr>
        <w:tc>
          <w:tcPr>
            <w:tcW w:w="217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6CE3876" w14:textId="77777777" w:rsidR="000C0C89" w:rsidRDefault="000C0C89" w:rsidP="000C0C89">
            <w:pPr>
              <w:keepNext/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Temos</w:t>
            </w:r>
          </w:p>
        </w:tc>
        <w:tc>
          <w:tcPr>
            <w:tcW w:w="146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8C33EB0" w14:textId="77777777" w:rsidR="000C0C89" w:rsidRDefault="000C0C89" w:rsidP="000C0C89">
            <w:pPr>
              <w:keepNext/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Savarankiškų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užduotys</w:t>
            </w:r>
          </w:p>
        </w:tc>
        <w:tc>
          <w:tcPr>
            <w:tcW w:w="1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BE128" w14:textId="7B5989C1" w:rsidR="000C0C89" w:rsidRDefault="000C0C89" w:rsidP="000C0C89">
            <w:pPr>
              <w:suppressAutoHyphens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Savarankiškų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užduotys</w:t>
            </w:r>
          </w:p>
        </w:tc>
      </w:tr>
      <w:tr w:rsidR="000C0C89" w14:paraId="14E9F142" w14:textId="77777777" w:rsidTr="000C0C89">
        <w:trPr>
          <w:cantSplit/>
          <w:trHeight w:val="2529"/>
        </w:trPr>
        <w:tc>
          <w:tcPr>
            <w:tcW w:w="2179" w:type="pct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650603F" w14:textId="77777777" w:rsidR="000C0C89" w:rsidRDefault="000C0C89" w:rsidP="000C0C89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890243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Paskaitos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28B914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Konsultacijos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510DF4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9133BE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Pratybos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7ABB4A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Laboratoriniai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darbai (LD)</w:t>
            </w:r>
          </w:p>
        </w:tc>
        <w:tc>
          <w:tcPr>
            <w:tcW w:w="26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CC0127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kontaktinis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darbas</w:t>
            </w:r>
          </w:p>
        </w:tc>
        <w:tc>
          <w:tcPr>
            <w:tcW w:w="24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5511ED" w14:textId="77777777" w:rsidR="000C0C89" w:rsidRDefault="000C0C89" w:rsidP="000C0C89">
            <w:pPr>
              <w:snapToGrid w:val="0"/>
              <w:spacing w:before="0"/>
              <w:ind w:left="113" w:right="11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Savarankiškas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darbas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DAC5B" w14:textId="77777777" w:rsidR="000C0C89" w:rsidRDefault="000C0C89" w:rsidP="000C0C89">
            <w:pPr>
              <w:snapToGrid w:val="0"/>
              <w:spacing w:before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Užduotys</w:t>
            </w:r>
          </w:p>
        </w:tc>
      </w:tr>
      <w:tr w:rsidR="000C0C89" w14:paraId="20759793" w14:textId="77777777" w:rsidTr="00E47230">
        <w:trPr>
          <w:trHeight w:val="500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CDCD2F7" w14:textId="77777777" w:rsidR="00E47230" w:rsidRDefault="00E47230" w:rsidP="00E4723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1.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Unix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architekt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ros principai, fail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sistema,</w:t>
            </w:r>
          </w:p>
          <w:p w14:paraId="00C22EC2" w14:textId="4E962E2A" w:rsidR="000C0C89" w:rsidRPr="00FF0A83" w:rsidRDefault="00E47230" w:rsidP="00E47230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komandos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80AD" w14:textId="0B34E6DC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34A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37B6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0A2D" w14:textId="2E69B1DE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17A5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FCF8" w14:textId="4F17A972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E7110" w14:textId="214148E8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57C44AC7" w14:textId="36BD7AFE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:rsidRPr="00CB6CA1" w14:paraId="14D7BA5A" w14:textId="77777777" w:rsidTr="00F1300C">
        <w:trPr>
          <w:trHeight w:val="267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5D44A3E" w14:textId="0F860877" w:rsidR="000C0C89" w:rsidRPr="008B0120" w:rsidRDefault="00F1300C" w:rsidP="000C0C89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2. Versij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kontrol</w:t>
            </w:r>
            <w:proofErr w:type="spellEnd"/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÷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(valdymas) ir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Subversion</w:t>
            </w:r>
            <w:proofErr w:type="spellEnd"/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F654" w14:textId="0789465D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CB22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B04B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F806" w14:textId="27D9644C" w:rsidR="000C0C89" w:rsidRPr="00561B8B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E2A9" w14:textId="334A86A4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9647" w14:textId="59CC5B12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1D87D" w14:textId="1249EFCD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1EB242D" w14:textId="1219D5AB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18D66BF7" w14:textId="77777777" w:rsidTr="000C0C89">
        <w:trPr>
          <w:trHeight w:val="225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BCD1E86" w14:textId="2AED7EF9" w:rsidR="000C0C89" w:rsidRP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3. 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rimo aplinka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Unix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bei GNU Linux sistemose ir jos galimybė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8BBF0" w14:textId="385D195B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EE6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EE51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476F" w14:textId="59E9787F" w:rsidR="000C0C89" w:rsidRPr="00561B8B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3509" w14:textId="4D1C1054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5550" w14:textId="0FCEA785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B55B" w14:textId="2E6A012D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7CB2EFE" w14:textId="0962886D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:rsidRPr="00295B99" w14:paraId="7C32A7F6" w14:textId="77777777" w:rsidTr="00F1300C">
        <w:trPr>
          <w:trHeight w:val="518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0F56567" w14:textId="30134E8F" w:rsidR="000C0C89" w:rsidRPr="008B0120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4. 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testavimas, 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surinkimas ir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proces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automatizavimas GNU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Make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sistema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FD253" w14:textId="66A27B0B" w:rsidR="000C0C89" w:rsidRPr="008B0120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6C95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64CF8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3BE51" w14:textId="6CC08583" w:rsidR="000C0C89" w:rsidRPr="00561B8B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012B" w14:textId="48AB3CAF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BC55" w14:textId="62B12B52" w:rsidR="000C0C89" w:rsidRPr="00295B99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AA640" w14:textId="48F42F90" w:rsidR="000C0C89" w:rsidRPr="00295B99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6B38C6E1" w14:textId="1065CBCC" w:rsidR="000C0C89" w:rsidRPr="00295B9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0C89" w:rsidRPr="00295B99" w14:paraId="23516E34" w14:textId="77777777" w:rsidTr="000C0C89">
        <w:trPr>
          <w:trHeight w:val="464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7F38D56" w14:textId="77777777" w:rsid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5.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Unix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-tipo aplinkos ir GNU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Make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sistemos</w:t>
            </w:r>
          </w:p>
          <w:p w14:paraId="37219037" w14:textId="3581FE8D" w:rsidR="000C0C89" w:rsidRPr="00295B99" w:rsidRDefault="00F1300C" w:rsidP="00F1300C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pritaikymas duomen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apdorojimui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662C" w14:textId="02573DAD" w:rsidR="000C0C89" w:rsidRPr="008B0120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77CF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012A" w14:textId="77777777" w:rsidR="000C0C89" w:rsidRPr="00295B9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6E3F" w14:textId="30CEE994" w:rsidR="000C0C89" w:rsidRPr="00561B8B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0D06" w14:textId="6C43DB11" w:rsidR="000C0C89" w:rsidRPr="00260E9E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485A" w14:textId="41D7CD58" w:rsidR="000C0C89" w:rsidRPr="00295B99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A353" w14:textId="32CD4169" w:rsidR="000C0C89" w:rsidRPr="00295B99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B43639E" w14:textId="1B52B98A" w:rsidR="000C0C89" w:rsidRPr="00295B9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C0C89" w14:paraId="2DB6BEF4" w14:textId="77777777" w:rsidTr="00F1300C">
        <w:trPr>
          <w:trHeight w:val="377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6DABDE" w14:textId="63D09ABE" w:rsidR="000C0C89" w:rsidRPr="00FF0A83" w:rsidRDefault="00F1300C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6. Program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analiz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 xml:space="preserve">ir teisingumo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rodymai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4F18" w14:textId="67E5BFCE" w:rsidR="000C0C89" w:rsidRPr="008B0120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37D7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1125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F6A57" w14:textId="6A37A358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8AC2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85AEF" w14:textId="0EED79AB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4BCF" w14:textId="07531EE8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BC9F488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0D3DB72D" w14:textId="77777777" w:rsidTr="000C0C89">
        <w:trPr>
          <w:trHeight w:val="464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74780C8" w14:textId="77777777" w:rsid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7.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Unix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GNU ir Linux sistem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papildomos</w:t>
            </w:r>
          </w:p>
          <w:p w14:paraId="1C1ABB39" w14:textId="2AB65D08" w:rsidR="000C0C89" w:rsidRPr="00FF0A83" w:rsidRDefault="00F1300C" w:rsidP="00F1300C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galimyb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s, istorija, savybi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analiz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3520" w14:textId="73FC3740" w:rsidR="000C0C89" w:rsidRPr="008B0120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E809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19230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0B16" w14:textId="74421ED4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280E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8269" w14:textId="476160A6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D47B" w14:textId="1AD561E1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72284075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5CE0A9BE" w14:textId="77777777" w:rsidTr="00F1300C">
        <w:trPr>
          <w:trHeight w:val="361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92EEB81" w14:textId="0FC4E186" w:rsidR="000C0C89" w:rsidRPr="00FF0A83" w:rsidRDefault="00F1300C" w:rsidP="000C0C89">
            <w:pPr>
              <w:pStyle w:val="ListParagraph"/>
              <w:suppressAutoHyphens w:val="0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0"/>
                <w:szCs w:val="20"/>
                <w:lang w:eastAsia="en-GB"/>
              </w:rPr>
              <w:t>8. Pasiruošimas egzaminui, egzaminas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DA6CD" w14:textId="2DE074EF" w:rsidR="000C0C89" w:rsidRPr="008B0120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50434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10F0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9D0E" w14:textId="02D6BA58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0213" w14:textId="77777777" w:rsidR="000C0C89" w:rsidRPr="0029421D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3DFD" w14:textId="7DC59DBD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FFDB" w14:textId="0718C60A" w:rsidR="000C0C89" w:rsidRPr="0029421D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1" w:type="pct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21CD5272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C0C89" w14:paraId="39E3137C" w14:textId="77777777" w:rsidTr="000C0C89">
        <w:trPr>
          <w:trHeight w:val="275"/>
        </w:trPr>
        <w:tc>
          <w:tcPr>
            <w:tcW w:w="2179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1E7985E" w14:textId="77777777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CCD3B3F" w14:textId="777714E6" w:rsidR="000C0C89" w:rsidRDefault="000C0C89" w:rsidP="00F1300C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13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866A559" w14:textId="5490B90A" w:rsidR="000C0C89" w:rsidRDefault="000C0C89" w:rsidP="000C0C89">
            <w:pPr>
              <w:snapToGrid w:val="0"/>
              <w:spacing w:before="0"/>
              <w:jc w:val="right"/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4E2096B" w14:textId="77777777" w:rsidR="000C0C89" w:rsidRDefault="000C0C89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E902FA6" w14:textId="038D08A1" w:rsidR="000C0C89" w:rsidRDefault="00F1300C" w:rsidP="000C0C89">
            <w:pPr>
              <w:snapToGrid w:val="0"/>
              <w:spacing w:befor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C80F514" w14:textId="403B589E" w:rsidR="000C0C89" w:rsidRDefault="000C0C89" w:rsidP="000C0C89">
            <w:pPr>
              <w:snapToGrid w:val="0"/>
              <w:spacing w:before="0"/>
              <w:jc w:val="right"/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E9F67BA" w14:textId="751311A4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45B0159" w14:textId="3653891B" w:rsidR="000C0C89" w:rsidRDefault="000C0C89" w:rsidP="000C0C89">
            <w:pPr>
              <w:snapToGrid w:val="0"/>
              <w:spacing w:before="0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4F5E58" w14:textId="77777777" w:rsidR="000C0C89" w:rsidRDefault="000C0C89" w:rsidP="000C0C89">
            <w:pPr>
              <w:snapToGrid w:val="0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76F5AC2" w14:textId="77777777" w:rsidR="00F549C3" w:rsidRDefault="00F549C3">
      <w:pPr>
        <w:spacing w:before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70"/>
        <w:gridCol w:w="851"/>
        <w:gridCol w:w="1843"/>
        <w:gridCol w:w="4944"/>
      </w:tblGrid>
      <w:tr w:rsidR="00F549C3" w14:paraId="6AA46F5B" w14:textId="77777777" w:rsidTr="00052CD8">
        <w:tc>
          <w:tcPr>
            <w:tcW w:w="102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</w:tcPr>
          <w:p w14:paraId="65F9A5BB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strategija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57EE4C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Svoris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proc.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5D9AA7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Atsiskaitymo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67029F41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kriterijai</w:t>
            </w:r>
          </w:p>
        </w:tc>
      </w:tr>
      <w:tr w:rsidR="00F549C3" w14:paraId="203BCD4B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3751511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Darbas paskaitose (paskait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ų</w:t>
            </w:r>
          </w:p>
          <w:p w14:paraId="4150E1BB" w14:textId="2DB5FB54" w:rsidR="00F549C3" w:rsidRPr="00052CD8" w:rsidRDefault="008B0120" w:rsidP="008B0120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apklausos)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9D72" w14:textId="3A017C12" w:rsidR="00F549C3" w:rsidRPr="00052CD8" w:rsidRDefault="008B012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DF8A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 min. prieš</w:t>
            </w:r>
          </w:p>
          <w:p w14:paraId="2E7B9CBB" w14:textId="77777777" w:rsidR="008B0120" w:rsidRPr="00052CD8" w:rsidRDefault="008B0120" w:rsidP="008B0120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kiekvien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</w:p>
          <w:p w14:paraId="67D5086F" w14:textId="5738857A" w:rsidR="00F549C3" w:rsidRPr="00052CD8" w:rsidRDefault="008B0120" w:rsidP="008B012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praktikos darb</w:t>
            </w:r>
            <w:r w:rsidRPr="00052CD8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ą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BDCA51" w14:textId="77777777" w:rsid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Testas iš 4 klausim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apiman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jau išklausyt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37073AB3" w14:textId="77777777" w:rsid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medžiag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 Sumuojamas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už teisingai atsakytus klausimus</w:t>
            </w:r>
          </w:p>
          <w:p w14:paraId="2B63C47D" w14:textId="77777777" w:rsid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ius; maksimali vis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toki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apklaus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suma – 100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  <w:p w14:paraId="72B18B59" w14:textId="17B84A84" w:rsidR="00077F0C" w:rsidRPr="00F1300C" w:rsidRDefault="00F1300C" w:rsidP="00F1300C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Paprastai organizuojamas virt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ualioje mokymosi aplinkoje, bet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gali 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 panaudotas testas raštu.</w:t>
            </w:r>
          </w:p>
        </w:tc>
      </w:tr>
      <w:tr w:rsidR="00F549C3" w14:paraId="70A537EC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F194E94" w14:textId="7835F522" w:rsidR="00F549C3" w:rsidRPr="00052CD8" w:rsidRDefault="00052CD8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Tarpinis kontrolinis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87B46" w14:textId="234C90B8" w:rsidR="00F549C3" w:rsidRPr="00052CD8" w:rsidRDefault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C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4EAF7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semestro</w:t>
            </w:r>
          </w:p>
          <w:p w14:paraId="79F6C5F1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vidurys (po</w:t>
            </w:r>
          </w:p>
          <w:p w14:paraId="0B14A1F2" w14:textId="77368B7D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maždaug pusės</w:t>
            </w:r>
          </w:p>
          <w:p w14:paraId="39CE21C5" w14:textId="319569E7" w:rsidR="00F549C3" w:rsidRPr="00052CD8" w:rsidRDefault="00052CD8" w:rsidP="00052CD8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F4C3C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Testas (virtuali mokymosi aplinka) iš 50 klausim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</w:t>
            </w:r>
          </w:p>
          <w:p w14:paraId="33F24747" w14:textId="31E837E9" w:rsidR="00572D93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apiman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1-4 temas. Maksimali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už atsakymus suma – iki 150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</w:tr>
      <w:tr w:rsidR="00F549C3" w:rsidRPr="00052CD8" w14:paraId="7A0B330B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56CAD7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lastRenderedPageBreak/>
              <w:t>Praktikos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0D5F3D5E" w14:textId="11B08255" w:rsidR="00F549C3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atsiskaitymai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F087" w14:textId="6F598AC2" w:rsidR="00F549C3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25D3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Po kiekvieno</w:t>
            </w:r>
          </w:p>
          <w:p w14:paraId="7734DCE6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praktikos darbo</w:t>
            </w:r>
          </w:p>
          <w:p w14:paraId="420B6E2C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pagal nustatyt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</w:p>
          <w:p w14:paraId="4035396B" w14:textId="4B8E6952" w:rsidR="00F549C3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grafik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E8978F" w14:textId="3BE55F87" w:rsidR="00F549C3" w:rsidRPr="005B7CD5" w:rsidRDefault="005B7CD5" w:rsidP="005B7CD5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Studentai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kelia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virtuali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mokymosi aplink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savo praktinio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rezultatus. Vertinimo kriterijai: pasiektas praktikos darbo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tikslas – iki 30%; programav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imo stilius ir programos teksto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tvarkingumas – iki 30%; bendros dalyko žinios – iki 40%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kiekvieno darbo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vertinimo (vertinimo lentel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 pateikiamos prie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kiekvienos užduoties).</w:t>
            </w:r>
          </w:p>
        </w:tc>
      </w:tr>
      <w:tr w:rsidR="008B0120" w:rsidRPr="00052CD8" w14:paraId="6661D48E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BAA00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Praktikos darbo ataskaitos</w:t>
            </w:r>
          </w:p>
          <w:p w14:paraId="0A6CC7E1" w14:textId="619B2881" w:rsidR="008B0120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pristatymas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CC8A6" w14:textId="33372C65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6775" w14:textId="08485352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Paskutin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</w:p>
          <w:p w14:paraId="18F3CB79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semestro</w:t>
            </w:r>
          </w:p>
          <w:p w14:paraId="58EA4DD6" w14:textId="11C64A8D" w:rsidR="008B0120" w:rsidRPr="00052CD8" w:rsidRDefault="00052CD8" w:rsidP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FB8FA29" w14:textId="499B5800" w:rsidR="008B0120" w:rsidRPr="00052CD8" w:rsidRDefault="005B7CD5" w:rsidP="005B7CD5">
            <w:pPr>
              <w:suppressAutoHyphens w:val="0"/>
              <w:autoSpaceDE w:val="0"/>
              <w:autoSpaceDN w:val="0"/>
              <w:adjustRightInd w:val="0"/>
              <w:spacing w:before="0"/>
              <w:rPr>
                <w:bCs/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Studentai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kelia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virtuali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mokymosi aplink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savo praktinio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ataskait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ir perskaito 5—10 min. pranešim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grup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ė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je.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ataskait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ą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ū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tina pateikti pagal VU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apipavidalinimo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taisykles. Vertinimo kriterijai: pasiektas praktikos darbo tikslas –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iki 30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bendros dalyko žinios ir temos supratimas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(atsakymai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3 klausimus žodžiu iš darbo temos) – iki 30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darbo apipavidalinimas – iki 20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pranešimo d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÷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stymas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– iki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20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; viso – iki 100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</w:tr>
      <w:tr w:rsidR="005B7CD5" w:rsidRPr="00052CD8" w14:paraId="747A227E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E215176" w14:textId="7491DD98" w:rsidR="005B7CD5" w:rsidRDefault="005B7CD5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Egzaminas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F084A" w14:textId="5EB7E39A" w:rsidR="005B7CD5" w:rsidRDefault="005B7CD5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55EF" w14:textId="77777777" w:rsidR="005B7CD5" w:rsidRDefault="005B7CD5" w:rsidP="005B7CD5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Egzamin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</w:p>
          <w:p w14:paraId="702DD25A" w14:textId="3F40ADD5" w:rsidR="005B7CD5" w:rsidRDefault="005B7CD5" w:rsidP="005B7CD5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sesija</w:t>
            </w: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8EBADE0" w14:textId="1FBDFE82" w:rsidR="005B7CD5" w:rsidRPr="005B7CD5" w:rsidRDefault="005B7CD5" w:rsidP="005B7CD5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Testas (virtuali mokymosi aplinka) iš 50 klausim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apiman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visas kurso temas. Maksimali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už atsakymus suma –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iki 150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.</w:t>
            </w:r>
          </w:p>
        </w:tc>
      </w:tr>
      <w:tr w:rsidR="008B0120" w:rsidRPr="00052CD8" w14:paraId="5220DDBF" w14:textId="77777777" w:rsidTr="00052CD8">
        <w:trPr>
          <w:cantSplit/>
        </w:trPr>
        <w:tc>
          <w:tcPr>
            <w:tcW w:w="102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CB09E14" w14:textId="6FDC259B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Viso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EAD4A6C" w14:textId="23B5501A" w:rsidR="008B0120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90CCCF4" w14:textId="77777777" w:rsidR="008B0120" w:rsidRPr="00052CD8" w:rsidRDefault="008B0120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20E75F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Galutinis pažymys yra suminis paskait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apklaus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tarpinio</w:t>
            </w:r>
          </w:p>
          <w:p w14:paraId="5558F73C" w14:textId="77777777" w:rsid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kontrolinio, praktikos darb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NewRoman" w:eastAsia="TimesNewRoman" w:hAnsi="Times-Roman" w:cs="TimesNew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rezultat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, praktikos darbo</w:t>
            </w:r>
          </w:p>
          <w:p w14:paraId="0B1F7D91" w14:textId="66D69970" w:rsidR="008B0120" w:rsidRPr="00052CD8" w:rsidRDefault="00052CD8" w:rsidP="00052CD8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</w:pP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ataskaitos ir egzamino balas (iki 1000 bal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ų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), padalintas iš 100, apvalinamas iki artimiausio didesnio sveiko skai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č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iaus (pvz., 901 balas apvalinamas iki galutinio </w:t>
            </w:r>
            <w:r>
              <w:rPr>
                <w:rFonts w:ascii="TimesNewRoman" w:eastAsia="TimesNewRoman" w:hAnsi="Times-Roman" w:cs="TimesNewRoman" w:hint="eastAsia"/>
                <w:sz w:val="20"/>
                <w:szCs w:val="20"/>
                <w:lang w:eastAsia="en-GB"/>
              </w:rPr>
              <w:t>į</w:t>
            </w:r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vertinimo 10).</w:t>
            </w:r>
          </w:p>
        </w:tc>
      </w:tr>
    </w:tbl>
    <w:p w14:paraId="1AB234FE" w14:textId="77777777" w:rsidR="00F549C3" w:rsidRPr="00052CD8" w:rsidRDefault="00F549C3">
      <w:pPr>
        <w:spacing w:before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55"/>
        <w:gridCol w:w="6353"/>
      </w:tblGrid>
      <w:tr w:rsidR="00F549C3" w14:paraId="5BC3956A" w14:textId="77777777" w:rsidTr="00E329BC"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41A7C1D3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 dalyko vertinimui eksterno būdu</w:t>
            </w:r>
          </w:p>
        </w:tc>
      </w:tr>
      <w:tr w:rsidR="00F549C3" w14:paraId="095746DD" w14:textId="77777777" w:rsidTr="00E329BC">
        <w:trPr>
          <w:trHeight w:val="245"/>
        </w:trPr>
        <w:tc>
          <w:tcPr>
            <w:tcW w:w="169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47F492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Įvertinimas galimas eksterno būdu:</w:t>
            </w:r>
          </w:p>
        </w:tc>
        <w:tc>
          <w:tcPr>
            <w:tcW w:w="3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7E88E9" w14:textId="11B946CD" w:rsidR="00F549C3" w:rsidRPr="00052CD8" w:rsidRDefault="00052CD8">
            <w:pPr>
              <w:snapToGrid w:val="0"/>
              <w:spacing w:before="0"/>
              <w:jc w:val="both"/>
              <w:rPr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sz w:val="20"/>
                <w:szCs w:val="20"/>
              </w:rPr>
              <w:t>nenumatytas</w:t>
            </w:r>
          </w:p>
        </w:tc>
      </w:tr>
      <w:tr w:rsidR="00F549C3" w14:paraId="44739FBF" w14:textId="77777777" w:rsidTr="00E329BC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463531" w14:textId="21771840" w:rsidR="00F549C3" w:rsidRDefault="00F549C3">
            <w:pPr>
              <w:snapToGrid w:val="0"/>
              <w:spacing w:before="0"/>
              <w:jc w:val="both"/>
            </w:pPr>
          </w:p>
        </w:tc>
      </w:tr>
    </w:tbl>
    <w:p w14:paraId="34387CA3" w14:textId="0E45E133" w:rsidR="008D36A5" w:rsidRDefault="008D36A5">
      <w:pPr>
        <w:spacing w:before="0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52"/>
        <w:gridCol w:w="707"/>
        <w:gridCol w:w="2554"/>
        <w:gridCol w:w="1703"/>
        <w:gridCol w:w="2392"/>
      </w:tblGrid>
      <w:tr w:rsidR="00F549C3" w14:paraId="7DD66ABF" w14:textId="77777777" w:rsidTr="00B204D7"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6E6E6"/>
          </w:tcPr>
          <w:p w14:paraId="5E1085B0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Autorius</w:t>
            </w:r>
          </w:p>
        </w:tc>
        <w:tc>
          <w:tcPr>
            <w:tcW w:w="36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E59CC3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metai</w:t>
            </w:r>
          </w:p>
        </w:tc>
        <w:tc>
          <w:tcPr>
            <w:tcW w:w="132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5BBA6EE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AFFB3E1" w14:textId="77777777" w:rsidR="00F549C3" w:rsidRDefault="005B0362">
            <w:pPr>
              <w:snapToGrid w:val="0"/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Periodinio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leidinio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1EA49A27" w14:textId="77777777" w:rsidR="00F549C3" w:rsidRDefault="005B0362">
            <w:pPr>
              <w:spacing w:before="0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leidinio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tomas</w:t>
            </w:r>
          </w:p>
        </w:tc>
        <w:tc>
          <w:tcPr>
            <w:tcW w:w="1244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2BBA94B9" w14:textId="77777777" w:rsidR="00F549C3" w:rsidRDefault="005B0362">
            <w:pPr>
              <w:snapToGrid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Leidimo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leidykla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FE84CC8" w14:textId="77777777" w:rsidR="00F549C3" w:rsidRDefault="005B0362">
            <w:pPr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internetinė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nuoroda</w:t>
            </w:r>
          </w:p>
        </w:tc>
      </w:tr>
      <w:tr w:rsidR="00F549C3" w14:paraId="54C5630E" w14:textId="77777777" w:rsidTr="00052CD8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5CA1647" w14:textId="77777777" w:rsidR="00F549C3" w:rsidRDefault="005B0362">
            <w:pPr>
              <w:snapToGrid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Privalomoji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literatūra</w:t>
            </w:r>
          </w:p>
        </w:tc>
      </w:tr>
      <w:tr w:rsidR="0092126A" w14:paraId="3BDB2860" w14:textId="77777777" w:rsidTr="00B204D7">
        <w:tc>
          <w:tcPr>
            <w:tcW w:w="117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34DE87F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Collins-Sussman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</w:p>
          <w:p w14:paraId="7EDD19DD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Brian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W.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Fitzpatrick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C.</w:t>
            </w:r>
          </w:p>
          <w:p w14:paraId="7C55E152" w14:textId="0336294D" w:rsidR="0092126A" w:rsidRPr="00B204D7" w:rsidRDefault="00B204D7" w:rsidP="00B204D7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Michael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Pilato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FD41" w14:textId="50EF3359" w:rsidR="0092126A" w:rsidRPr="00B204D7" w:rsidRDefault="00B204D7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7BE7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Version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control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with</w:t>
            </w:r>
            <w:proofErr w:type="spellEnd"/>
          </w:p>
          <w:p w14:paraId="184D60D6" w14:textId="17DC1946" w:rsidR="0092126A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Subversion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AA63" w14:textId="77777777" w:rsidR="0092126A" w:rsidRPr="00B204D7" w:rsidRDefault="0092126A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565C1A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O'Reilly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Media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Inc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.,</w:t>
            </w:r>
          </w:p>
          <w:p w14:paraId="11181ABA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http://shop.oreilly.com/produc</w:t>
            </w:r>
          </w:p>
          <w:p w14:paraId="64C61DC5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t/9780596004484.do</w:t>
            </w:r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ISBN</w:t>
            </w:r>
          </w:p>
          <w:p w14:paraId="1F71045B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978-0596510336,</w:t>
            </w:r>
          </w:p>
          <w:p w14:paraId="74FD7E17" w14:textId="64DBE143" w:rsidR="0092126A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http://svnbook.red-bean.com/</w:t>
            </w:r>
          </w:p>
        </w:tc>
      </w:tr>
      <w:tr w:rsidR="00052CD8" w14:paraId="65A922F4" w14:textId="77777777" w:rsidTr="00B204D7">
        <w:tc>
          <w:tcPr>
            <w:tcW w:w="117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5B80110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Richard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M.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Stallman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</w:p>
          <w:p w14:paraId="2F0DB441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Roland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McGrath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Paul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D.</w:t>
            </w:r>
          </w:p>
          <w:p w14:paraId="3C52801A" w14:textId="3BC8FBC1" w:rsidR="00052CD8" w:rsidRPr="00B204D7" w:rsidRDefault="00B204D7" w:rsidP="00B204D7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Smith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3578" w14:textId="50B23EED" w:rsidR="00052CD8" w:rsidRPr="00B204D7" w:rsidRDefault="00B204D7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1622" w14:textId="05E7D891" w:rsidR="00052CD8" w:rsidRPr="00B204D7" w:rsidRDefault="00B204D7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GNU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Make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F283" w14:textId="77777777" w:rsidR="00052CD8" w:rsidRPr="00B204D7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0E9A76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Free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Software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Foundation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</w:p>
          <w:p w14:paraId="624857CA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http://www.gnu.org/software/</w:t>
            </w:r>
          </w:p>
          <w:p w14:paraId="48EA7577" w14:textId="0C5CBFB3" w:rsidR="00052CD8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make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/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manual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en-GB"/>
              </w:rPr>
              <w:t>/</w:t>
            </w:r>
          </w:p>
        </w:tc>
      </w:tr>
      <w:tr w:rsidR="00052CD8" w14:paraId="2CF5B6AF" w14:textId="77777777" w:rsidTr="00B204D7">
        <w:tc>
          <w:tcPr>
            <w:tcW w:w="117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60F3A6C" w14:textId="40EC4684" w:rsidR="00052CD8" w:rsidRPr="00B204D7" w:rsidRDefault="00B204D7" w:rsidP="005652E0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Kernighan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Brian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W.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32F9" w14:textId="049534F3" w:rsidR="00052CD8" w:rsidRPr="00B204D7" w:rsidRDefault="00B204D7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70B62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UNIX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programming</w:t>
            </w:r>
            <w:proofErr w:type="spellEnd"/>
          </w:p>
          <w:p w14:paraId="6D4D7051" w14:textId="064C5BA3" w:rsidR="00052CD8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environment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C8FD" w14:textId="77777777" w:rsidR="00052CD8" w:rsidRPr="00B204D7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A841F3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Prentice-Hall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Inc</w:t>
            </w:r>
            <w:proofErr w:type="spellEnd"/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.; ISBN 0-13-</w:t>
            </w:r>
          </w:p>
          <w:p w14:paraId="3A5D6B9A" w14:textId="1AF6DE6D" w:rsidR="00052CD8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937681-X</w:t>
            </w:r>
          </w:p>
        </w:tc>
      </w:tr>
      <w:tr w:rsidR="00052CD8" w14:paraId="5A40CC77" w14:textId="77777777" w:rsidTr="00B204D7">
        <w:tc>
          <w:tcPr>
            <w:tcW w:w="117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3E91FEF9" w14:textId="6F98A1E0" w:rsidR="00052CD8" w:rsidRPr="00B204D7" w:rsidRDefault="00B204D7" w:rsidP="00052CD8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Бриан</w:t>
            </w:r>
            <w:proofErr w:type="spellEnd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Керниган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F777E" w14:textId="28315CE3" w:rsidR="00052CD8" w:rsidRPr="00B204D7" w:rsidRDefault="00B204D7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04D7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E2BB" w14:textId="77777777" w:rsidR="00B204D7" w:rsidRPr="00B204D7" w:rsidRDefault="00B204D7" w:rsidP="00B204D7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r w:rsidRPr="00B204D7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UNIX-</w:t>
            </w: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универсальная</w:t>
            </w:r>
            <w:proofErr w:type="spellEnd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среда</w:t>
            </w:r>
            <w:proofErr w:type="spellEnd"/>
          </w:p>
          <w:p w14:paraId="5AC7D8DD" w14:textId="0AF310DB" w:rsidR="00052CD8" w:rsidRPr="00B204D7" w:rsidRDefault="00B204D7" w:rsidP="00B204D7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программирования</w:t>
            </w:r>
            <w:proofErr w:type="spell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78A0D" w14:textId="77777777" w:rsidR="00052CD8" w:rsidRPr="00B204D7" w:rsidRDefault="00052CD8" w:rsidP="005652E0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D7F78E" w14:textId="52CC07A9" w:rsidR="00052CD8" w:rsidRPr="00B204D7" w:rsidRDefault="00B204D7" w:rsidP="005652E0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Москва</w:t>
            </w:r>
            <w:proofErr w:type="spellEnd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Финансы</w:t>
            </w:r>
            <w:proofErr w:type="spellEnd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B204D7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статистика</w:t>
            </w:r>
            <w:proofErr w:type="spellEnd"/>
          </w:p>
        </w:tc>
      </w:tr>
      <w:tr w:rsidR="00F549C3" w14:paraId="24442BFB" w14:textId="77777777" w:rsidTr="00052CD8">
        <w:tc>
          <w:tcPr>
            <w:tcW w:w="5000" w:type="pct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4BCD7667" w14:textId="77777777" w:rsidR="00F549C3" w:rsidRPr="000C0C89" w:rsidRDefault="005B0362">
            <w:pPr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Papildoma</w:t>
            </w:r>
            <w:r w:rsidRPr="000C0C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C0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literatūra</w:t>
            </w:r>
          </w:p>
        </w:tc>
      </w:tr>
      <w:tr w:rsidR="00F549C3" w14:paraId="6C44A97D" w14:textId="77777777" w:rsidTr="00B204D7">
        <w:tc>
          <w:tcPr>
            <w:tcW w:w="1172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78068FB" w14:textId="3B41A0BC" w:rsidR="00F549C3" w:rsidRPr="000C0C89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Wikipedia</w:t>
            </w:r>
            <w:proofErr w:type="spellEnd"/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2A7E" w14:textId="63CB94BD" w:rsidR="00F549C3" w:rsidRPr="000C0C89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2FE4A" w14:textId="50BC2B2C" w:rsidR="00F549C3" w:rsidRPr="000C0C89" w:rsidRDefault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Test-driven</w:t>
            </w:r>
            <w:proofErr w:type="spellEnd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Times-Roman" w:eastAsia="Times New Roman" w:hAnsi="Times-Roman" w:cs="Times-Roman"/>
                <w:sz w:val="20"/>
                <w:szCs w:val="20"/>
                <w:lang w:eastAsia="en-GB"/>
              </w:rPr>
              <w:t>development</w:t>
            </w:r>
            <w:proofErr w:type="spellEnd"/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2208C" w14:textId="77777777" w:rsidR="00F549C3" w:rsidRPr="000C0C89" w:rsidRDefault="00F549C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0B55A5A" w14:textId="77777777" w:rsid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-Roman" w:eastAsia="Times New Roman" w:hAnsi="Times-Roman" w:cs="Times-Roman"/>
                <w:color w:val="0000FF"/>
                <w:lang w:eastAsia="en-GB"/>
              </w:rPr>
            </w:pPr>
            <w:r>
              <w:rPr>
                <w:rFonts w:ascii="Times-Roman" w:eastAsia="Times New Roman" w:hAnsi="Times-Roman" w:cs="Times-Roman"/>
                <w:color w:val="0000FF"/>
                <w:lang w:eastAsia="en-GB"/>
              </w:rPr>
              <w:t>http://en.wikipedia.org/wiki/T</w:t>
            </w:r>
          </w:p>
          <w:p w14:paraId="6F174F28" w14:textId="285822C3" w:rsidR="00F549C3" w:rsidRPr="000C0C89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-Roman" w:eastAsia="Times New Roman" w:hAnsi="Times-Roman" w:cs="Times-Roman"/>
                <w:color w:val="0000FF"/>
                <w:lang w:eastAsia="en-GB"/>
              </w:rPr>
              <w:t>est-driven_development</w:t>
            </w:r>
            <w:proofErr w:type="spellEnd"/>
          </w:p>
        </w:tc>
      </w:tr>
      <w:tr w:rsidR="00562013" w14:paraId="3A50C3B2" w14:textId="77777777" w:rsidTr="00B204D7">
        <w:tc>
          <w:tcPr>
            <w:tcW w:w="1172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93E346F" w14:textId="6B192C26" w:rsidR="00562013" w:rsidRPr="00562013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Kent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Beck</w:t>
            </w:r>
            <w:proofErr w:type="spellEnd"/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6A0E" w14:textId="2F2E9243" w:rsidR="00562013" w:rsidRPr="00562013" w:rsidRDefault="00562013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5620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  <w:t>2003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F117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Test-Driven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Development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By</w:t>
            </w:r>
            <w:proofErr w:type="spellEnd"/>
          </w:p>
          <w:p w14:paraId="20E76BDC" w14:textId="04E6E3B0" w:rsidR="00562013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Example</w:t>
            </w:r>
            <w:proofErr w:type="spellEnd"/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1A96A" w14:textId="77777777" w:rsidR="00562013" w:rsidRPr="00562013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5866C3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Addison-Wesley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Boston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ISBN-</w:t>
            </w:r>
          </w:p>
          <w:p w14:paraId="4B6D472F" w14:textId="056B0D34" w:rsidR="00562013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13: 978-0321146533</w:t>
            </w:r>
          </w:p>
        </w:tc>
      </w:tr>
      <w:tr w:rsidR="00AC60BE" w14:paraId="5F7DCB8D" w14:textId="77777777" w:rsidTr="00B204D7">
        <w:tc>
          <w:tcPr>
            <w:tcW w:w="1172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196FA4C" w14:textId="369A7F06" w:rsidR="00AC60BE" w:rsidRPr="00562013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Kent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Beck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Erich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Gamma</w:t>
            </w:r>
            <w:proofErr w:type="spellEnd"/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2E78" w14:textId="098D83E2" w:rsidR="00AC60BE" w:rsidRPr="00562013" w:rsidRDefault="00562013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5620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  <w:t>2005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D675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Extreme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Programming</w:t>
            </w:r>
            <w:proofErr w:type="spellEnd"/>
          </w:p>
          <w:p w14:paraId="5F200E6F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Explained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Embrace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Change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</w:t>
            </w:r>
          </w:p>
          <w:p w14:paraId="3CBC8AFC" w14:textId="6BD6A08C" w:rsidR="00AC60BE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2nd Edition (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XP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Series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CB3C6" w14:textId="77777777" w:rsidR="00AC60BE" w:rsidRPr="00562013" w:rsidRDefault="00AC60BE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15E2E2F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Addison-Wesley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Boston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ISBN-</w:t>
            </w:r>
          </w:p>
          <w:p w14:paraId="55F97EAE" w14:textId="551E9345" w:rsidR="00AC60BE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13: 978-0321278654</w:t>
            </w:r>
          </w:p>
        </w:tc>
      </w:tr>
      <w:tr w:rsidR="00052CD8" w14:paraId="3A5C9CB0" w14:textId="77777777" w:rsidTr="00B204D7">
        <w:tc>
          <w:tcPr>
            <w:tcW w:w="1172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6A5FA6B" w14:textId="29EAA500" w:rsidR="00052CD8" w:rsidRPr="00562013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Bourne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S. R.</w:t>
            </w:r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947D" w14:textId="0B75E9CB" w:rsidR="00052CD8" w:rsidRPr="00562013" w:rsidRDefault="00562013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5620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  <w:t>1983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17EE7" w14:textId="75441938" w:rsidR="00052CD8" w:rsidRPr="00562013" w:rsidRDefault="00562013" w:rsidP="000C0C89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UNIX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system</w:t>
            </w:r>
            <w:proofErr w:type="spellEnd"/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2CFA" w14:textId="1F6B768B" w:rsidR="00052CD8" w:rsidRPr="00562013" w:rsidRDefault="00052CD8" w:rsidP="000C0C89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F0F17A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Addison-Wesley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Boston</w:t>
            </w:r>
            <w:proofErr w:type="spellEnd"/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, ISBN</w:t>
            </w:r>
          </w:p>
          <w:p w14:paraId="6D002A1D" w14:textId="7B6C7F80" w:rsidR="00052CD8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lastRenderedPageBreak/>
              <w:t>0-201-13791-7</w:t>
            </w:r>
          </w:p>
        </w:tc>
      </w:tr>
      <w:tr w:rsidR="00AC60BE" w14:paraId="51B6F63D" w14:textId="77777777" w:rsidTr="00B204D7">
        <w:tc>
          <w:tcPr>
            <w:tcW w:w="1172" w:type="pct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2A3AB1ED" w14:textId="11DC082D" w:rsidR="00AC60BE" w:rsidRPr="00562013" w:rsidRDefault="00562013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lastRenderedPageBreak/>
              <w:t xml:space="preserve">С. </w:t>
            </w:r>
            <w:proofErr w:type="spellStart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Баурн</w:t>
            </w:r>
            <w:proofErr w:type="spellEnd"/>
          </w:p>
        </w:tc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A04C" w14:textId="13B41318" w:rsidR="00AC60BE" w:rsidRPr="00562013" w:rsidRDefault="00562013" w:rsidP="00052CD8">
            <w:pPr>
              <w:snapToGrid w:val="0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5620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lt-LT"/>
              </w:rPr>
              <w:t>1986</w:t>
            </w:r>
          </w:p>
        </w:tc>
        <w:tc>
          <w:tcPr>
            <w:tcW w:w="13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29C7" w14:textId="77777777" w:rsidR="00562013" w:rsidRPr="00562013" w:rsidRDefault="00562013" w:rsidP="00562013">
            <w:pPr>
              <w:suppressAutoHyphens w:val="0"/>
              <w:autoSpaceDE w:val="0"/>
              <w:autoSpaceDN w:val="0"/>
              <w:adjustRightInd w:val="0"/>
              <w:spacing w:before="0"/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Операционная</w:t>
            </w:r>
            <w:proofErr w:type="spellEnd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система</w:t>
            </w:r>
            <w:proofErr w:type="spellEnd"/>
          </w:p>
          <w:p w14:paraId="33BA5D3A" w14:textId="2F75A5F7" w:rsidR="00AC60BE" w:rsidRPr="00562013" w:rsidRDefault="00562013" w:rsidP="00562013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UNIX</w:t>
            </w:r>
          </w:p>
        </w:tc>
        <w:tc>
          <w:tcPr>
            <w:tcW w:w="8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36D7" w14:textId="77777777" w:rsidR="00AC60BE" w:rsidRPr="00562013" w:rsidRDefault="00AC60BE">
            <w:pPr>
              <w:snapToGrid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1F957F" w14:textId="181E982D" w:rsidR="00AC60BE" w:rsidRPr="00562013" w:rsidRDefault="00562013" w:rsidP="00052CD8">
            <w:pPr>
              <w:suppressAutoHyphens w:val="0"/>
              <w:autoSpaceDE w:val="0"/>
              <w:snapToGrid w:val="0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Москва</w:t>
            </w:r>
            <w:proofErr w:type="spellEnd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562013">
              <w:rPr>
                <w:rFonts w:ascii="Times New Roman" w:eastAsia="TimesNewRoman" w:hAnsi="Times New Roman" w:cs="Times New Roman"/>
                <w:sz w:val="20"/>
                <w:szCs w:val="20"/>
                <w:lang w:eastAsia="en-GB"/>
              </w:rPr>
              <w:t>Мир</w:t>
            </w:r>
            <w:proofErr w:type="spellEnd"/>
          </w:p>
        </w:tc>
      </w:tr>
    </w:tbl>
    <w:p w14:paraId="27707B65" w14:textId="77777777" w:rsidR="005B0362" w:rsidRDefault="005B0362">
      <w:pPr>
        <w:spacing w:before="0"/>
        <w:jc w:val="center"/>
      </w:pPr>
    </w:p>
    <w:sectPr w:rsidR="005B0362" w:rsidSect="00F51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9DCE" w14:textId="77777777" w:rsidR="00151520" w:rsidRDefault="00151520">
      <w:pPr>
        <w:spacing w:before="0"/>
      </w:pPr>
      <w:r>
        <w:separator/>
      </w:r>
    </w:p>
  </w:endnote>
  <w:endnote w:type="continuationSeparator" w:id="0">
    <w:p w14:paraId="4BE3B83B" w14:textId="77777777" w:rsidR="00151520" w:rsidRDefault="001515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FreeSans">
    <w:altName w:val="Cambria"/>
    <w:charset w:val="00"/>
    <w:family w:val="roman"/>
    <w:pitch w:val="default"/>
  </w:font>
  <w:font w:name="Lohit Hindi">
    <w:altName w:val="MS Gothic"/>
    <w:charset w:val="80"/>
    <w:family w:val="auto"/>
    <w:pitch w:val="variable"/>
  </w:font>
  <w:font w:name="WenQuanYi Micro Hei">
    <w:charset w:val="8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B2F" w14:textId="77777777" w:rsidR="00C726FD" w:rsidRDefault="00C7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BCF3" w14:textId="77777777" w:rsidR="00F549C3" w:rsidRDefault="00F549C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8B93" w14:textId="77777777" w:rsidR="00F549C3" w:rsidRDefault="00F549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DF1CD" w14:textId="77777777" w:rsidR="00151520" w:rsidRDefault="00151520">
      <w:pPr>
        <w:spacing w:before="0"/>
      </w:pPr>
      <w:r>
        <w:separator/>
      </w:r>
    </w:p>
  </w:footnote>
  <w:footnote w:type="continuationSeparator" w:id="0">
    <w:p w14:paraId="4A22628C" w14:textId="77777777" w:rsidR="00151520" w:rsidRDefault="001515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8CA82" w14:textId="77777777" w:rsidR="00C726FD" w:rsidRDefault="00C7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A881C" w14:textId="77777777" w:rsidR="00F549C3" w:rsidRDefault="00F549C3">
    <w:pPr>
      <w:pStyle w:val="Header"/>
      <w:spacing w:before="0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900F6" w14:textId="77777777" w:rsidR="00F549C3" w:rsidRDefault="00F549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  <w:lang w:eastAsia="lt-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  <w:lang w:eastAsia="lt-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  <w:lang w:eastAsia="lt-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  <w:lang w:eastAsia="lt-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  <w:lang w:eastAsia="lt-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  <w:lang w:eastAsia="lt-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DE34563"/>
    <w:multiLevelType w:val="hybridMultilevel"/>
    <w:tmpl w:val="34E8F5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3AE5"/>
    <w:multiLevelType w:val="hybridMultilevel"/>
    <w:tmpl w:val="A9E44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03F89"/>
    <w:multiLevelType w:val="hybridMultilevel"/>
    <w:tmpl w:val="71204B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55286"/>
    <w:multiLevelType w:val="hybridMultilevel"/>
    <w:tmpl w:val="B972B84E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FD"/>
    <w:rsid w:val="00043C43"/>
    <w:rsid w:val="00052CD8"/>
    <w:rsid w:val="00077F0C"/>
    <w:rsid w:val="00086D19"/>
    <w:rsid w:val="00090F33"/>
    <w:rsid w:val="000C0C89"/>
    <w:rsid w:val="000D7908"/>
    <w:rsid w:val="000E61CE"/>
    <w:rsid w:val="00110E42"/>
    <w:rsid w:val="00110F43"/>
    <w:rsid w:val="00111DC7"/>
    <w:rsid w:val="001144FF"/>
    <w:rsid w:val="00140B51"/>
    <w:rsid w:val="00150E5C"/>
    <w:rsid w:val="00151520"/>
    <w:rsid w:val="001718B2"/>
    <w:rsid w:val="00175D77"/>
    <w:rsid w:val="00180DAA"/>
    <w:rsid w:val="001B34C1"/>
    <w:rsid w:val="001B4E11"/>
    <w:rsid w:val="0022550E"/>
    <w:rsid w:val="00260E9E"/>
    <w:rsid w:val="00275599"/>
    <w:rsid w:val="002822A9"/>
    <w:rsid w:val="00291CD9"/>
    <w:rsid w:val="0029421D"/>
    <w:rsid w:val="00295B99"/>
    <w:rsid w:val="0030488A"/>
    <w:rsid w:val="00304F39"/>
    <w:rsid w:val="003272AA"/>
    <w:rsid w:val="00363988"/>
    <w:rsid w:val="0038139F"/>
    <w:rsid w:val="003A09A5"/>
    <w:rsid w:val="003A6DAB"/>
    <w:rsid w:val="003B6446"/>
    <w:rsid w:val="003D2E22"/>
    <w:rsid w:val="00423A8F"/>
    <w:rsid w:val="0043461D"/>
    <w:rsid w:val="00497EA8"/>
    <w:rsid w:val="004D11CE"/>
    <w:rsid w:val="004E1515"/>
    <w:rsid w:val="005077D2"/>
    <w:rsid w:val="005365AD"/>
    <w:rsid w:val="00561B8B"/>
    <w:rsid w:val="00562013"/>
    <w:rsid w:val="00572D93"/>
    <w:rsid w:val="005A47F4"/>
    <w:rsid w:val="005B0362"/>
    <w:rsid w:val="005B7CD5"/>
    <w:rsid w:val="005D3267"/>
    <w:rsid w:val="005D51B6"/>
    <w:rsid w:val="00601842"/>
    <w:rsid w:val="0063222F"/>
    <w:rsid w:val="00650843"/>
    <w:rsid w:val="006832B1"/>
    <w:rsid w:val="006A52F8"/>
    <w:rsid w:val="006D1344"/>
    <w:rsid w:val="006E47E5"/>
    <w:rsid w:val="0070086F"/>
    <w:rsid w:val="00713AE2"/>
    <w:rsid w:val="007D68C2"/>
    <w:rsid w:val="007F2C22"/>
    <w:rsid w:val="00847225"/>
    <w:rsid w:val="00861F16"/>
    <w:rsid w:val="00885A9E"/>
    <w:rsid w:val="008B0120"/>
    <w:rsid w:val="008C3370"/>
    <w:rsid w:val="008D1217"/>
    <w:rsid w:val="008D36A5"/>
    <w:rsid w:val="008D5641"/>
    <w:rsid w:val="00901546"/>
    <w:rsid w:val="00903743"/>
    <w:rsid w:val="00910336"/>
    <w:rsid w:val="0092126A"/>
    <w:rsid w:val="00927375"/>
    <w:rsid w:val="00945944"/>
    <w:rsid w:val="009723F7"/>
    <w:rsid w:val="009C0D33"/>
    <w:rsid w:val="009C5D61"/>
    <w:rsid w:val="009F1ECE"/>
    <w:rsid w:val="00A17DC8"/>
    <w:rsid w:val="00A447CC"/>
    <w:rsid w:val="00A647F2"/>
    <w:rsid w:val="00AA43F7"/>
    <w:rsid w:val="00AB2ED0"/>
    <w:rsid w:val="00AC60BE"/>
    <w:rsid w:val="00B204D7"/>
    <w:rsid w:val="00B76297"/>
    <w:rsid w:val="00B931DB"/>
    <w:rsid w:val="00BC703A"/>
    <w:rsid w:val="00C56119"/>
    <w:rsid w:val="00C62D42"/>
    <w:rsid w:val="00C65E6D"/>
    <w:rsid w:val="00C726FD"/>
    <w:rsid w:val="00CA6810"/>
    <w:rsid w:val="00CB6CA1"/>
    <w:rsid w:val="00CE219A"/>
    <w:rsid w:val="00D046F4"/>
    <w:rsid w:val="00D05378"/>
    <w:rsid w:val="00D402E6"/>
    <w:rsid w:val="00D45F52"/>
    <w:rsid w:val="00DC2D29"/>
    <w:rsid w:val="00DD0D97"/>
    <w:rsid w:val="00DD1090"/>
    <w:rsid w:val="00DE3122"/>
    <w:rsid w:val="00DF4CD1"/>
    <w:rsid w:val="00DF6767"/>
    <w:rsid w:val="00E329BC"/>
    <w:rsid w:val="00E47230"/>
    <w:rsid w:val="00E6343F"/>
    <w:rsid w:val="00EA08F9"/>
    <w:rsid w:val="00EA0CD0"/>
    <w:rsid w:val="00ED569E"/>
    <w:rsid w:val="00EF7384"/>
    <w:rsid w:val="00F1300C"/>
    <w:rsid w:val="00F2477E"/>
    <w:rsid w:val="00F518FD"/>
    <w:rsid w:val="00F549C3"/>
    <w:rsid w:val="00FB126F"/>
    <w:rsid w:val="00FB6A4A"/>
    <w:rsid w:val="00FC1B34"/>
    <w:rsid w:val="00FF0A8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9D8C04"/>
  <w15:chartTrackingRefBased/>
  <w15:docId w15:val="{7C424921-2F10-B242-B605-6B112DF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20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  <w:sz w:val="20"/>
      <w:szCs w:val="20"/>
      <w:lang w:eastAsia="lt-L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eastAsia="Times New Roman" w:hAnsi="Symbol" w:cs="OpenSymbol"/>
      <w:sz w:val="20"/>
      <w:szCs w:val="20"/>
      <w:lang w:eastAsia="lt-LT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1">
    <w:name w:val="WW-Default Paragraph Font11"/>
  </w:style>
  <w:style w:type="character" w:customStyle="1" w:styleId="WW-Absatz-Standardschriftart1111">
    <w:name w:val="WW-Absatz-Standardschriftart1111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5z0">
    <w:name w:val="WW8Num25z0"/>
    <w:rPr>
      <w:rFonts w:ascii="Calibri" w:eastAsia="Calibri" w:hAnsi="Calibri" w:cs="Calibri"/>
      <w:sz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-DefaultParagraphFont111">
    <w:name w:val="WW-Default Paragraph Font111"/>
  </w:style>
  <w:style w:type="character" w:customStyle="1" w:styleId="FootnoteTextChar">
    <w:name w:val="Footnote Text Char"/>
    <w:basedOn w:val="WW-DefaultParagraphFont111"/>
  </w:style>
  <w:style w:type="character" w:customStyle="1" w:styleId="Inaosramenys">
    <w:name w:val="Išnašos rašmeny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basedOn w:val="WW-DefaultParagraphFont111"/>
  </w:style>
  <w:style w:type="character" w:customStyle="1" w:styleId="Heading2Char">
    <w:name w:val="Heading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1">
    <w:name w:val="Header Char1"/>
    <w:rPr>
      <w:rFonts w:ascii="Calibri" w:eastAsia="Calibri" w:hAnsi="Calibri" w:cs="Calibri"/>
      <w:sz w:val="22"/>
      <w:szCs w:val="22"/>
      <w:lang w:val="lt-LT" w:eastAsia="zh-CN" w:bidi="ar-SA"/>
    </w:rPr>
  </w:style>
  <w:style w:type="character" w:customStyle="1" w:styleId="EndnoteTextChar">
    <w:name w:val="Endnote Text Char"/>
    <w:rPr>
      <w:rFonts w:ascii="Calibri" w:eastAsia="Calibri" w:hAnsi="Calibri" w:cs="Calibri"/>
      <w:lang w:eastAsia="zh-CN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Rodykl">
    <w:name w:val="Rodyklė"/>
    <w:basedOn w:val="Normal"/>
    <w:pPr>
      <w:suppressLineNumbers/>
    </w:pPr>
    <w:rPr>
      <w:rFonts w:cs="Lohit Hindi"/>
    </w:rPr>
  </w:style>
  <w:style w:type="paragraph" w:customStyle="1" w:styleId="WW-Caption">
    <w:name w:val="WW-Caption"/>
    <w:basedOn w:val="Normal"/>
    <w:pPr>
      <w:suppressLineNumbers/>
      <w:spacing w:after="120"/>
    </w:pPr>
    <w:rPr>
      <w:rFonts w:cs="Lohit Hindi"/>
      <w:i/>
      <w:iCs/>
      <w:sz w:val="24"/>
      <w:szCs w:val="24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DiagramaDiagramaDiagramaDiagrama">
    <w:name w:val="Diagrama Diagrama Diagrama Diagrama"/>
    <w:basedOn w:val="Normal"/>
    <w:pPr>
      <w:spacing w:before="0"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styleId="CommentSubject">
    <w:name w:val="annotation subject"/>
    <w:basedOn w:val="CommentText1"/>
    <w:next w:val="CommentText1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 w:line="276" w:lineRule="auto"/>
      <w:ind w:left="720"/>
    </w:pPr>
    <w:rPr>
      <w:rFonts w:eastAsia="Times New Roman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C703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BC703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BC703A"/>
    <w:rPr>
      <w:rFonts w:ascii="Calibri" w:eastAsia="Calibri" w:hAnsi="Calibri" w:cs="Calibri"/>
      <w:lang w:eastAsia="zh-CN"/>
    </w:rPr>
  </w:style>
  <w:style w:type="paragraph" w:styleId="Revision">
    <w:name w:val="Revision"/>
    <w:hidden/>
    <w:uiPriority w:val="99"/>
    <w:semiHidden/>
    <w:rsid w:val="00DE312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0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9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1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4593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Projektas „Europos kreditų perkėlimo ir kaupimo sistemos (ECTS) nacionalinės koncepcijos parengimas: kreditų harmonizavimas ir mokymosi pasiekimais grindžiamų studijų programų metodikos kūrimas bei diegimas“ VP1-2</vt:lpstr>
    </vt:vector>
  </TitlesOfParts>
  <Company/>
  <LinksUpToDate>false</LinksUpToDate>
  <CharactersWithSpaces>7198</CharactersWithSpaces>
  <SharedDoc>false</SharedDoc>
  <HLinks>
    <vt:vector size="18" baseType="variant">
      <vt:variant>
        <vt:i4>393239</vt:i4>
      </vt:variant>
      <vt:variant>
        <vt:i4>6</vt:i4>
      </vt:variant>
      <vt:variant>
        <vt:i4>0</vt:i4>
      </vt:variant>
      <vt:variant>
        <vt:i4>5</vt:i4>
      </vt:variant>
      <vt:variant>
        <vt:lpwstr>https://www.istqb.org/downloads/send/48-advanced-level-test-automation-engineer-documents/201-advanced-test-automation-engineer-syllabus-ga-2016.html</vt:lpwstr>
      </vt:variant>
      <vt:variant>
        <vt:lpwstr/>
      </vt:variant>
      <vt:variant>
        <vt:i4>2162745</vt:i4>
      </vt:variant>
      <vt:variant>
        <vt:i4>3</vt:i4>
      </vt:variant>
      <vt:variant>
        <vt:i4>0</vt:i4>
      </vt:variant>
      <vt:variant>
        <vt:i4>5</vt:i4>
      </vt:variant>
      <vt:variant>
        <vt:lpwstr>https://www.istqb.org/downloads/send/68-2019-advanced-level-technical-test-analyst/302-advanced-level-syllabus-2019-technical-test-analyst.html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https://www.istqb.org/downloads/send/2-foundation-level-documents/281-istqb-ctfl-syllabus-2018-v3-1.html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„Europos kreditų perkėlimo ir kaupimo sistemos (ECTS) nacionalinės koncepcijos parengimas: kreditų harmonizavimas ir mokymosi pasiekimais grindžiamų studijų programų metodikos kūrimas bei diegimas“ VP1-2</dc:title>
  <dc:subject/>
  <dc:creator>Diana</dc:creator>
  <cp:keywords/>
  <cp:lastModifiedBy>Julija Kurilova</cp:lastModifiedBy>
  <cp:revision>13</cp:revision>
  <cp:lastPrinted>1995-11-21T15:41:00Z</cp:lastPrinted>
  <dcterms:created xsi:type="dcterms:W3CDTF">2022-08-24T11:15:00Z</dcterms:created>
  <dcterms:modified xsi:type="dcterms:W3CDTF">2022-08-30T12:40:00Z</dcterms:modified>
</cp:coreProperties>
</file>